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ind w:hanging="0" w:start="-1136" w:end="13946"/>
        <w:rPr/>
      </w:pPr>
      <w:r>
        <w:rPr/>
      </w:r>
    </w:p>
    <w:tbl>
      <w:tblPr>
        <w:tblStyle w:val="TableGrid"/>
        <w:tblW w:w="14040" w:type="dxa"/>
        <w:jc w:val="start"/>
        <w:tblInd w:w="-185" w:type="dxa"/>
        <w:tblLayout w:type="fixed"/>
        <w:tblCellMar>
          <w:top w:w="69" w:type="dxa"/>
          <w:start w:w="56" w:type="dxa"/>
          <w:bottom w:w="0" w:type="dxa"/>
          <w:end w:w="13" w:type="dxa"/>
        </w:tblCellMar>
        <w:tblLook w:firstRow="1" w:noVBand="1" w:lastRow="0" w:firstColumn="1" w:lastColumn="0" w:noHBand="0" w:val="04a0"/>
      </w:tblPr>
      <w:tblGrid>
        <w:gridCol w:w="810"/>
        <w:gridCol w:w="2520"/>
        <w:gridCol w:w="2159"/>
        <w:gridCol w:w="2971"/>
        <w:gridCol w:w="5580"/>
      </w:tblGrid>
      <w:tr>
        <w:trPr>
          <w:trHeight w:val="672" w:hRule="atLeast"/>
        </w:trPr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4"/>
                <w:szCs w:val="22"/>
                <w:lang w:val="en-US" w:eastAsia="en-US" w:bidi="ar-SA"/>
              </w:rPr>
              <w:t>Check Box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4"/>
                <w:szCs w:val="22"/>
                <w:lang w:val="en-US" w:eastAsia="en-US" w:bidi="ar-SA"/>
              </w:rPr>
              <w:t>Accommodation</w:t>
            </w:r>
          </w:p>
        </w:tc>
        <w:tc>
          <w:tcPr>
            <w:tcW w:w="2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4"/>
                <w:szCs w:val="22"/>
                <w:lang w:val="en-US" w:eastAsia="en-US" w:bidi="ar-SA"/>
              </w:rPr>
              <w:t>Support Needed</w:t>
            </w:r>
          </w:p>
        </w:tc>
        <w:tc>
          <w:tcPr>
            <w:tcW w:w="2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4"/>
                <w:szCs w:val="22"/>
                <w:lang w:val="en-US" w:eastAsia="en-US" w:bidi="ar-SA"/>
              </w:rPr>
              <w:t>Resources Needed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24"/>
                <w:szCs w:val="22"/>
                <w:lang w:val="en-US" w:eastAsia="en-US" w:bidi="ar-SA"/>
              </w:rPr>
              <w:t>Further Information</w:t>
            </w:r>
          </w:p>
        </w:tc>
      </w:tr>
      <w:tr>
        <w:trPr>
          <w:trHeight w:val="1224" w:hRule="atLeast"/>
        </w:trPr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 w:end="43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Temperature regulation</w:t>
            </w:r>
          </w:p>
        </w:tc>
        <w:tc>
          <w:tcPr>
            <w:tcW w:w="2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Cooperation/access to climate control</w:t>
            </w:r>
          </w:p>
        </w:tc>
        <w:tc>
          <w:tcPr>
            <w:tcW w:w="2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1"/>
              <w:jc w:val="both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 xml:space="preserve">Portable fans, clothing layers 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38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Avoiding being too hot or cold can prevent meltdowns, shutdowns, emotional dysregulation, skill</w:t>
            </w:r>
            <w:r>
              <w:rPr>
                <w:kern w:val="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regression, discomfort, etc.</w:t>
            </w:r>
          </w:p>
        </w:tc>
      </w:tr>
      <w:tr>
        <w:trPr>
          <w:trHeight w:val="1224" w:hRule="atLeast"/>
        </w:trPr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Sunglasses</w:t>
            </w:r>
          </w:p>
        </w:tc>
        <w:tc>
          <w:tcPr>
            <w:tcW w:w="2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Cooperation</w:t>
            </w:r>
          </w:p>
        </w:tc>
        <w:tc>
          <w:tcPr>
            <w:tcW w:w="2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Sunglasses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38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Avoiding being overstimulated can prevent meltdowns, shutdowns, emotional dysregulation, skill</w:t>
            </w:r>
            <w:r>
              <w:rPr>
                <w:kern w:val="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regression, discomfort, etc.</w:t>
            </w:r>
          </w:p>
        </w:tc>
      </w:tr>
      <w:tr>
        <w:trPr>
          <w:trHeight w:val="1224" w:hRule="atLeast"/>
        </w:trPr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Dimmed lighting</w:t>
            </w:r>
          </w:p>
        </w:tc>
        <w:tc>
          <w:tcPr>
            <w:tcW w:w="2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Cooperation/access to lighting</w:t>
            </w:r>
          </w:p>
        </w:tc>
        <w:tc>
          <w:tcPr>
            <w:tcW w:w="2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b w:val="false"/>
                <w:bCs w:val="false"/>
                <w:kern w:val="0"/>
                <w:szCs w:val="22"/>
                <w:lang w:val="en-US" w:eastAsia="en-US" w:bidi="ar-SA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en-US" w:eastAsia="en-US" w:bidi="ar-SA"/>
              </w:rPr>
              <w:t>Lamps/dimmable light</w:t>
            </w:r>
            <w:bookmarkStart w:id="0" w:name="_GoBack"/>
            <w:bookmarkEnd w:id="0"/>
            <w:r>
              <w:rPr>
                <w:b w:val="false"/>
                <w:bCs w:val="false"/>
                <w:kern w:val="0"/>
                <w:sz w:val="24"/>
                <w:szCs w:val="24"/>
                <w:lang w:val="en-US" w:eastAsia="en-US" w:bidi="ar-SA"/>
              </w:rPr>
              <w:t>ing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38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Avoiding being overstimulated can prevent meltdowns, shutdowns, emotional dysregulation, skill</w:t>
            </w:r>
            <w:r>
              <w:rPr>
                <w:kern w:val="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regression, discomfort, etc.</w:t>
            </w:r>
          </w:p>
        </w:tc>
      </w:tr>
      <w:tr>
        <w:trPr>
          <w:trHeight w:val="1224" w:hRule="atLeast"/>
        </w:trPr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Ear protection</w:t>
            </w:r>
          </w:p>
        </w:tc>
        <w:tc>
          <w:tcPr>
            <w:tcW w:w="2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Cooperation</w:t>
            </w:r>
          </w:p>
        </w:tc>
        <w:tc>
          <w:tcPr>
            <w:tcW w:w="2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38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Ear protection (ear plugs, ear muffs,</w:t>
            </w:r>
            <w:r>
              <w:rPr>
                <w:kern w:val="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noise canceling headphones), white noise machine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38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Avoiding being overstimulated can prevent meltdowns, shutdowns, emotional dysregulation, skill</w:t>
            </w:r>
            <w:r>
              <w:rPr>
                <w:kern w:val="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regression, discomfort, etc.</w:t>
            </w:r>
          </w:p>
        </w:tc>
      </w:tr>
      <w:tr>
        <w:trPr>
          <w:trHeight w:val="1500" w:hRule="atLeast"/>
        </w:trPr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Quiet space</w:t>
            </w:r>
          </w:p>
        </w:tc>
        <w:tc>
          <w:tcPr>
            <w:tcW w:w="2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 xml:space="preserve">Space provided, </w:t>
            </w:r>
          </w:p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permission granted, alternate access or exemption from environment</w:t>
            </w:r>
          </w:p>
        </w:tc>
        <w:tc>
          <w:tcPr>
            <w:tcW w:w="2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38" w:before="0" w:after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Alternative quiet space</w:t>
            </w:r>
            <w:r>
              <w:rPr>
                <w:kern w:val="0"/>
                <w:szCs w:val="22"/>
                <w:lang w:val="en-US" w:eastAsia="en-US" w:bidi="ar-SA"/>
              </w:rPr>
              <w:t xml:space="preserve">,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a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 xml:space="preserve">ccess to material in initial </w:t>
            </w:r>
          </w:p>
          <w:p>
            <w:pPr>
              <w:pStyle w:val="Normal"/>
              <w:widowControl/>
              <w:spacing w:lineRule="auto" w:line="259" w:before="0" w:after="0"/>
              <w:ind w:hanging="126" w:start="126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environment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38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Avoiding being overstimulated can prevent meltdowns, shutdowns, emotional dysregulation, skill</w:t>
            </w:r>
            <w:r>
              <w:rPr>
                <w:kern w:val="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regression, discomfort, etc.</w:t>
            </w:r>
          </w:p>
        </w:tc>
      </w:tr>
      <w:tr>
        <w:trPr>
          <w:trHeight w:val="672" w:hRule="atLeast"/>
        </w:trPr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6" w:type="dxa"/>
            </w:tcMar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6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Screen recording</w:t>
            </w:r>
          </w:p>
        </w:tc>
        <w:tc>
          <w:tcPr>
            <w:tcW w:w="2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6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Consent to be recorded</w:t>
            </w:r>
          </w:p>
        </w:tc>
        <w:tc>
          <w:tcPr>
            <w:tcW w:w="2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6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Access to assistive technology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6" w:type="dxa"/>
            </w:tcMar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b w:val="false"/>
                <w:bCs w:val="false"/>
                <w:kern w:val="0"/>
                <w:szCs w:val="22"/>
                <w:lang w:val="en-US" w:eastAsia="en-US" w:bidi="ar-SA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en-US" w:eastAsia="en-US" w:bidi="ar-SA"/>
              </w:rPr>
              <w:t>Having access to recordings can help with information retention and comprehension, task organization, and allow individuals to be more present in the moment</w:t>
            </w:r>
          </w:p>
        </w:tc>
      </w:tr>
    </w:tbl>
    <w:p>
      <w:pPr>
        <w:pStyle w:val="Normal"/>
        <w:spacing w:lineRule="auto" w:line="259" w:before="0" w:after="0"/>
        <w:ind w:hanging="0" w:start="0" w:end="13946"/>
        <w:rPr/>
      </w:pPr>
      <w:r>
        <w:rPr/>
      </w:r>
    </w:p>
    <w:tbl>
      <w:tblPr>
        <w:tblStyle w:val="TableGrid"/>
        <w:tblW w:w="13947" w:type="dxa"/>
        <w:jc w:val="start"/>
        <w:tblInd w:w="-2" w:type="dxa"/>
        <w:tblLayout w:type="fixed"/>
        <w:tblCellMar>
          <w:top w:w="69" w:type="dxa"/>
          <w:start w:w="56" w:type="dxa"/>
          <w:bottom w:w="0" w:type="dxa"/>
          <w:end w:w="16" w:type="dxa"/>
        </w:tblCellMar>
        <w:tblLook w:firstRow="1" w:noVBand="1" w:lastRow="0" w:firstColumn="1" w:lastColumn="0" w:noHBand="0" w:val="04a0"/>
      </w:tblPr>
      <w:tblGrid>
        <w:gridCol w:w="867"/>
        <w:gridCol w:w="2432"/>
        <w:gridCol w:w="2180"/>
        <w:gridCol w:w="3009"/>
        <w:gridCol w:w="5459"/>
      </w:tblGrid>
      <w:tr>
        <w:trPr>
          <w:trHeight w:val="948" w:hRule="atLeast"/>
        </w:trPr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Written feedback</w:t>
            </w:r>
          </w:p>
        </w:tc>
        <w:tc>
          <w:tcPr>
            <w:tcW w:w="21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Cooperation in writing feedback</w:t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Paper/pen or electronic communication</w:t>
            </w:r>
          </w:p>
        </w:tc>
        <w:tc>
          <w:tcPr>
            <w:tcW w:w="5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In order to receive, incorporate, and process feedback, the individual will benefit from receiving written feedback instead of oral feedback</w:t>
            </w:r>
          </w:p>
        </w:tc>
      </w:tr>
      <w:tr>
        <w:trPr>
          <w:trHeight w:val="1776" w:hRule="atLeast"/>
        </w:trPr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 xml:space="preserve">Planned, timed, and minimal interruptions </w:t>
            </w:r>
          </w:p>
        </w:tc>
        <w:tc>
          <w:tcPr>
            <w:tcW w:w="21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 xml:space="preserve">Coordinated </w:t>
            </w:r>
          </w:p>
          <w:p>
            <w:pPr>
              <w:pStyle w:val="Normal"/>
              <w:widowControl/>
              <w:spacing w:lineRule="auto" w:line="259" w:before="0" w:after="0"/>
              <w:ind w:hanging="0" w:start="0" w:end="204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scheduling, cooperation from others, and adequate communication</w:t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en-US" w:eastAsia="en-US" w:bidi="ar-SA"/>
              </w:rPr>
              <w:t>Timers, virtual or paper calendar/planner</w:t>
            </w:r>
          </w:p>
        </w:tc>
        <w:tc>
          <w:tcPr>
            <w:tcW w:w="5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38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Transitioning between tasks or being interrupted during focus can be dysregulating to some individuals. Minimizing these and allowing for predictability and time to prepare will benefit everyone involved</w:t>
            </w:r>
          </w:p>
        </w:tc>
      </w:tr>
      <w:tr>
        <w:trPr>
          <w:trHeight w:val="2328" w:hRule="atLeast"/>
        </w:trPr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Flexible scheduling</w:t>
            </w:r>
          </w:p>
        </w:tc>
        <w:tc>
          <w:tcPr>
            <w:tcW w:w="21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Flexible start and end times, compressed workweek, remote and hybrid work options, adjusted work times, asynchronous work hours</w:t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Home office supplies and space</w:t>
            </w:r>
          </w:p>
        </w:tc>
        <w:tc>
          <w:tcPr>
            <w:tcW w:w="5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1" w:end="728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Flexible start and end times, compressed workweek, remote and hybrid work options catering to the individual’s needs can boost productivity and quality of life</w:t>
            </w:r>
          </w:p>
        </w:tc>
      </w:tr>
      <w:tr>
        <w:trPr>
          <w:trHeight w:val="1750" w:hRule="atLeast"/>
        </w:trPr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3" w:type="dxa"/>
            </w:tcMar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3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Written instructions</w:t>
            </w:r>
          </w:p>
        </w:tc>
        <w:tc>
          <w:tcPr>
            <w:tcW w:w="21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3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Cooperation</w:t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3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1" w:end="18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Written instructions, virtual or physical</w:t>
            </w:r>
          </w:p>
        </w:tc>
        <w:tc>
          <w:tcPr>
            <w:tcW w:w="5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3" w:type="dxa"/>
            </w:tcMar>
          </w:tcPr>
          <w:p>
            <w:pPr>
              <w:pStyle w:val="Normal"/>
              <w:widowControl/>
              <w:spacing w:lineRule="auto" w:line="238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Clear, direct feedback increases</w:t>
            </w:r>
          </w:p>
          <w:p>
            <w:pPr>
              <w:pStyle w:val="Normal"/>
              <w:widowControl/>
              <w:spacing w:lineRule="auto" w:line="259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comprehension and reduces miscommunications</w:t>
            </w:r>
          </w:p>
        </w:tc>
      </w:tr>
      <w:tr>
        <w:trPr>
          <w:trHeight w:val="2640" w:hRule="atLeast"/>
        </w:trPr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Customized seating/desktop</w:t>
            </w:r>
          </w:p>
        </w:tc>
        <w:tc>
          <w:tcPr>
            <w:tcW w:w="21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Cooperation and coordination</w:t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Assigned seat/appropriate setup available</w:t>
            </w:r>
          </w:p>
        </w:tc>
        <w:tc>
          <w:tcPr>
            <w:tcW w:w="5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38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 xml:space="preserve">Appropriate seating for an individual might look like certain supports, textures, or freedoms to sit in unconventional postures in order to aid focus, </w:t>
            </w:r>
          </w:p>
          <w:p>
            <w:pPr>
              <w:pStyle w:val="Normal"/>
              <w:widowControl/>
              <w:spacing w:lineRule="auto" w:line="259" w:before="0" w:after="0"/>
              <w:ind w:hanging="0" w:start="1" w:end="69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mitigate or lower sensory issues, and foster safe and conducive environments</w:t>
            </w:r>
          </w:p>
        </w:tc>
      </w:tr>
      <w:tr>
        <w:trPr>
          <w:trHeight w:val="672" w:hRule="atLeast"/>
        </w:trPr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 xml:space="preserve">Flexible </w:t>
            </w:r>
          </w:p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 xml:space="preserve">scheduling/scheduled breaks </w:t>
            </w:r>
          </w:p>
        </w:tc>
        <w:tc>
          <w:tcPr>
            <w:tcW w:w="21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Cooperation and coordination</w:t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Alarm/timer</w:t>
            </w:r>
          </w:p>
        </w:tc>
        <w:tc>
          <w:tcPr>
            <w:tcW w:w="5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Flexible scheduling, including scheduled breaks, can reduce overwhelm and improve productivity and quality of participation</w:t>
            </w:r>
          </w:p>
          <w:p>
            <w:pPr>
              <w:pStyle w:val="Normal"/>
              <w:widowControl/>
              <w:spacing w:lineRule="auto" w:line="259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</w:tr>
      <w:tr>
        <w:trPr>
          <w:trHeight w:val="1776" w:hRule="atLeast"/>
        </w:trPr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0" w:type="dxa"/>
            </w:tcMar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0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Reduction of stimuli</w:t>
            </w:r>
          </w:p>
        </w:tc>
        <w:tc>
          <w:tcPr>
            <w:tcW w:w="21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0" w:type="dxa"/>
            </w:tcMar>
          </w:tcPr>
          <w:p>
            <w:pPr>
              <w:pStyle w:val="Normal"/>
              <w:widowControl/>
              <w:spacing w:lineRule="auto" w:line="238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Cooperation, and coordination of seating and scheduling</w:t>
            </w:r>
          </w:p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(no hot desking, or allow work-from-home)</w:t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0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 xml:space="preserve">Private office, room or sectioned space </w:t>
            </w:r>
          </w:p>
        </w:tc>
        <w:tc>
          <w:tcPr>
            <w:tcW w:w="5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0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1" w:end="72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This reduces sensory overwhelm, improves focus, and mitigates the negative impacts of task switching and unnecessary social expectations</w:t>
            </w:r>
          </w:p>
        </w:tc>
      </w:tr>
      <w:tr>
        <w:trPr>
          <w:trHeight w:val="1224" w:hRule="atLeast"/>
        </w:trPr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0" w:type="dxa"/>
            </w:tcMar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0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Executive function support</w:t>
            </w:r>
          </w:p>
        </w:tc>
        <w:tc>
          <w:tcPr>
            <w:tcW w:w="21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0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Mentor support, accommodated timelines or expectations</w:t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0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Project management tools, assistive tech</w:t>
            </w:r>
          </w:p>
        </w:tc>
        <w:tc>
          <w:tcPr>
            <w:tcW w:w="5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0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1" w:end="318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Accommodating these needs lends to prioritizing the individual’s skills, leading to greater productivity</w:t>
            </w:r>
          </w:p>
        </w:tc>
      </w:tr>
      <w:tr>
        <w:trPr>
          <w:trHeight w:val="1304" w:hRule="atLeast"/>
        </w:trPr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0" w:type="dxa"/>
            </w:tcMar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0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Structured breaks</w:t>
            </w:r>
          </w:p>
        </w:tc>
        <w:tc>
          <w:tcPr>
            <w:tcW w:w="21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0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Cooperation and coordination</w:t>
            </w:r>
          </w:p>
        </w:tc>
        <w:tc>
          <w:tcPr>
            <w:tcW w:w="3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0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Alarm system and space to break/rest/reset</w:t>
            </w:r>
          </w:p>
        </w:tc>
        <w:tc>
          <w:tcPr>
            <w:tcW w:w="5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0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 xml:space="preserve">Taking frequent breaks can improve mood, </w:t>
            </w:r>
          </w:p>
          <w:p>
            <w:pPr>
              <w:pStyle w:val="Normal"/>
              <w:widowControl/>
              <w:spacing w:lineRule="auto" w:line="259" w:before="0" w:after="0"/>
              <w:ind w:hanging="0" w:start="1" w:end="1858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productivity, and stabilize sensory input</w:t>
            </w:r>
          </w:p>
        </w:tc>
      </w:tr>
    </w:tbl>
    <w:p>
      <w:pPr>
        <w:pStyle w:val="Normal"/>
        <w:spacing w:lineRule="auto" w:line="259" w:before="0" w:after="0"/>
        <w:ind w:hanging="0" w:start="-1136" w:end="13946"/>
        <w:rPr/>
      </w:pPr>
      <w:r>
        <w:rPr/>
      </w:r>
    </w:p>
    <w:tbl>
      <w:tblPr>
        <w:tblStyle w:val="TableGrid"/>
        <w:tblW w:w="13947" w:type="dxa"/>
        <w:jc w:val="start"/>
        <w:tblInd w:w="-2" w:type="dxa"/>
        <w:tblLayout w:type="fixed"/>
        <w:tblCellMar>
          <w:top w:w="69" w:type="dxa"/>
          <w:start w:w="56" w:type="dxa"/>
          <w:bottom w:w="0" w:type="dxa"/>
          <w:end w:w="5" w:type="dxa"/>
        </w:tblCellMar>
        <w:tblLook w:firstRow="1" w:noVBand="1" w:lastRow="0" w:firstColumn="1" w:lastColumn="0" w:noHBand="0" w:val="04a0"/>
      </w:tblPr>
      <w:tblGrid>
        <w:gridCol w:w="860"/>
        <w:gridCol w:w="2425"/>
        <w:gridCol w:w="2247"/>
        <w:gridCol w:w="2995"/>
        <w:gridCol w:w="5420"/>
      </w:tblGrid>
      <w:tr>
        <w:trPr>
          <w:trHeight w:val="1776" w:hRule="atLeast"/>
        </w:trPr>
        <w:tc>
          <w:tcPr>
            <w:tcW w:w="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Sick days/PTO</w:t>
            </w:r>
          </w:p>
        </w:tc>
        <w:tc>
          <w:tcPr>
            <w:tcW w:w="2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 xml:space="preserve">Note Taker, </w:t>
            </w:r>
          </w:p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 xml:space="preserve">Recorded </w:t>
            </w:r>
          </w:p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 xml:space="preserve">Lectures/Classes, </w:t>
            </w:r>
          </w:p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Temporary Replacement at Work/Staffing.</w:t>
            </w:r>
          </w:p>
        </w:tc>
        <w:tc>
          <w:tcPr>
            <w:tcW w:w="2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5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1" w:end="152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Consistent rest and burnout prevention will benefit all parties, when considering longevity</w:t>
            </w:r>
          </w:p>
        </w:tc>
      </w:tr>
      <w:tr>
        <w:trPr>
          <w:trHeight w:val="1500" w:hRule="atLeast"/>
        </w:trPr>
        <w:tc>
          <w:tcPr>
            <w:tcW w:w="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Pre-prepared foods or prep help</w:t>
            </w:r>
          </w:p>
        </w:tc>
        <w:tc>
          <w:tcPr>
            <w:tcW w:w="2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Additional funds, or services to prepare food</w:t>
            </w:r>
          </w:p>
        </w:tc>
        <w:tc>
          <w:tcPr>
            <w:tcW w:w="2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Access to prepared food or frozen food</w:t>
            </w:r>
          </w:p>
        </w:tc>
        <w:tc>
          <w:tcPr>
            <w:tcW w:w="5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38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Chopping, seasoning, or assembling foods can be a barrier for</w:t>
            </w:r>
            <w:r>
              <w:rPr>
                <w:kern w:val="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 xml:space="preserve">some folks, resulting in less nourishing meals, pain or fatigue after cooking, or under-eating. </w:t>
            </w:r>
          </w:p>
        </w:tc>
      </w:tr>
      <w:tr>
        <w:trPr>
          <w:trHeight w:val="672" w:hRule="atLeast"/>
        </w:trPr>
        <w:tc>
          <w:tcPr>
            <w:tcW w:w="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Reminders/alarms</w:t>
            </w:r>
          </w:p>
        </w:tc>
        <w:tc>
          <w:tcPr>
            <w:tcW w:w="2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Verbal reminders, cooperation and coordination</w:t>
            </w:r>
          </w:p>
        </w:tc>
        <w:tc>
          <w:tcPr>
            <w:tcW w:w="2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Sticky notes and writing utensils, phone or alarm</w:t>
            </w:r>
          </w:p>
        </w:tc>
        <w:tc>
          <w:tcPr>
            <w:tcW w:w="5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Increased awareness and reminders increase focus, as well as chance of tasks being completed</w:t>
            </w:r>
          </w:p>
        </w:tc>
      </w:tr>
      <w:tr>
        <w:trPr>
          <w:trHeight w:val="948" w:hRule="atLeast"/>
        </w:trPr>
        <w:tc>
          <w:tcPr>
            <w:tcW w:w="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58" w:type="dxa"/>
            </w:tcMar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58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Visual schedule</w:t>
            </w:r>
          </w:p>
        </w:tc>
        <w:tc>
          <w:tcPr>
            <w:tcW w:w="2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58" w:type="dxa"/>
            </w:tcMar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b w:val="false"/>
                <w:bCs w:val="false"/>
                <w:kern w:val="0"/>
                <w:szCs w:val="22"/>
                <w:lang w:val="en-US" w:eastAsia="en-US" w:bidi="ar-SA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en-US" w:eastAsia="en-US" w:bidi="ar-SA"/>
              </w:rPr>
              <w:t>Access to materials/technology</w:t>
            </w:r>
          </w:p>
        </w:tc>
        <w:tc>
          <w:tcPr>
            <w:tcW w:w="2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58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Calendars, whiteboards, digital planners</w:t>
            </w:r>
          </w:p>
        </w:tc>
        <w:tc>
          <w:tcPr>
            <w:tcW w:w="5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58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1" w:end="287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Provides a visual overview of the day or week to support memory, planning and predictability</w:t>
            </w:r>
          </w:p>
        </w:tc>
      </w:tr>
      <w:tr>
        <w:trPr>
          <w:trHeight w:val="2052" w:hRule="atLeast"/>
        </w:trPr>
        <w:tc>
          <w:tcPr>
            <w:tcW w:w="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58" w:type="dxa"/>
            </w:tcMar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58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Visual communication aids</w:t>
            </w:r>
          </w:p>
        </w:tc>
        <w:tc>
          <w:tcPr>
            <w:tcW w:w="2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58" w:type="dxa"/>
            </w:tcMar>
          </w:tcPr>
          <w:p>
            <w:pPr>
              <w:pStyle w:val="Normal"/>
              <w:widowControl/>
              <w:spacing w:lineRule="auto" w:line="238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 xml:space="preserve">Training in use of visual </w:t>
            </w:r>
          </w:p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communication aids</w:t>
            </w:r>
          </w:p>
        </w:tc>
        <w:tc>
          <w:tcPr>
            <w:tcW w:w="2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58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 xml:space="preserve">Visual communication aids </w:t>
            </w:r>
          </w:p>
          <w:p>
            <w:pPr>
              <w:pStyle w:val="Normal"/>
              <w:widowControl/>
              <w:spacing w:lineRule="auto" w:line="259" w:before="0" w:after="0"/>
              <w:ind w:hanging="0" w:start="1" w:end="296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set such as: emotion thermometer, feelings wheel, basic access signs, DIY paper and pens, or app for device</w:t>
            </w:r>
          </w:p>
        </w:tc>
        <w:tc>
          <w:tcPr>
            <w:tcW w:w="5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58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 xml:space="preserve">When verbal communication or auditory </w:t>
            </w:r>
          </w:p>
          <w:p>
            <w:pPr>
              <w:pStyle w:val="Normal"/>
              <w:widowControl/>
              <w:spacing w:lineRule="auto" w:line="259" w:before="0" w:after="0"/>
              <w:ind w:hanging="0" w:start="1" w:end="6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processing is a barrier, these can help bridge the gap, improving communication and comprehension</w:t>
            </w:r>
          </w:p>
        </w:tc>
      </w:tr>
      <w:tr>
        <w:trPr>
          <w:trHeight w:val="1224" w:hRule="atLeast"/>
        </w:trPr>
        <w:tc>
          <w:tcPr>
            <w:tcW w:w="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58" w:type="dxa"/>
            </w:tcMar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58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Scent-free policy</w:t>
            </w:r>
          </w:p>
        </w:tc>
        <w:tc>
          <w:tcPr>
            <w:tcW w:w="2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58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Cooperation and coordination</w:t>
            </w:r>
          </w:p>
        </w:tc>
        <w:tc>
          <w:tcPr>
            <w:tcW w:w="2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58" w:type="dxa"/>
            </w:tcMar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5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58" w:type="dxa"/>
            </w:tcMar>
          </w:tcPr>
          <w:p>
            <w:pPr>
              <w:pStyle w:val="Normal"/>
              <w:widowControl/>
              <w:spacing w:lineRule="auto" w:line="238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Avoiding being overstimulated by can prevent meltdowns, shutdowns, emotional dysregulation, skill</w:t>
            </w:r>
            <w:r>
              <w:rPr>
                <w:kern w:val="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regression, discomfort, etc.</w:t>
            </w:r>
          </w:p>
        </w:tc>
      </w:tr>
    </w:tbl>
    <w:p>
      <w:pPr>
        <w:pStyle w:val="Normal"/>
        <w:spacing w:lineRule="auto" w:line="259" w:before="0" w:after="0"/>
        <w:ind w:hanging="0" w:start="-1136" w:end="13946"/>
        <w:rPr/>
      </w:pPr>
      <w:r>
        <w:rPr/>
      </w:r>
    </w:p>
    <w:tbl>
      <w:tblPr>
        <w:tblStyle w:val="TableGrid"/>
        <w:tblW w:w="13857" w:type="dxa"/>
        <w:jc w:val="start"/>
        <w:tblInd w:w="-2" w:type="dxa"/>
        <w:tblLayout w:type="fixed"/>
        <w:tblCellMar>
          <w:top w:w="69" w:type="dxa"/>
          <w:start w:w="56" w:type="dxa"/>
          <w:bottom w:w="0" w:type="dxa"/>
          <w:end w:w="58" w:type="dxa"/>
        </w:tblCellMar>
        <w:tblLook w:firstRow="1" w:noVBand="1" w:lastRow="0" w:firstColumn="1" w:lastColumn="0" w:noHBand="0" w:val="04a0"/>
      </w:tblPr>
      <w:tblGrid>
        <w:gridCol w:w="867"/>
        <w:gridCol w:w="2432"/>
        <w:gridCol w:w="2637"/>
        <w:gridCol w:w="2551"/>
        <w:gridCol w:w="5370"/>
      </w:tblGrid>
      <w:tr>
        <w:trPr>
          <w:trHeight w:val="1224" w:hRule="atLeast"/>
        </w:trPr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Movement breaks</w:t>
            </w:r>
          </w:p>
        </w:tc>
        <w:tc>
          <w:tcPr>
            <w:tcW w:w="2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Cooperation and coordination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5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38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Regular breaks prioritizing movement can prevent meltdowns, shutdowns, emotional dysregulation, skill</w:t>
            </w:r>
            <w:r>
              <w:rPr>
                <w:kern w:val="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regression, discomfort, etc.</w:t>
            </w:r>
          </w:p>
        </w:tc>
      </w:tr>
      <w:tr>
        <w:trPr>
          <w:trHeight w:val="1224" w:hRule="atLeast"/>
        </w:trPr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 xml:space="preserve">Asynchronous </w:t>
            </w:r>
          </w:p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 xml:space="preserve">communication </w:t>
            </w:r>
          </w:p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options</w:t>
            </w:r>
          </w:p>
        </w:tc>
        <w:tc>
          <w:tcPr>
            <w:tcW w:w="2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Varied workflow expectations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Communication software or analog system</w:t>
            </w:r>
          </w:p>
        </w:tc>
        <w:tc>
          <w:tcPr>
            <w:tcW w:w="5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1" w:end="128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Providing this can reduce the pressure of real-time responses and processing speed demands, improving communication and comprehension</w:t>
            </w:r>
          </w:p>
        </w:tc>
      </w:tr>
      <w:tr>
        <w:trPr>
          <w:trHeight w:val="2052" w:hRule="atLeast"/>
        </w:trPr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Clear exit and emergency plans</w:t>
            </w:r>
          </w:p>
        </w:tc>
        <w:tc>
          <w:tcPr>
            <w:tcW w:w="2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Training, with repetitive and clear communication for those involved (appropriate communication access needed)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Visual aids, written communication, practice</w:t>
            </w:r>
          </w:p>
        </w:tc>
        <w:tc>
          <w:tcPr>
            <w:tcW w:w="5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1" w:end="28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Providing adequate dedication to comprehension can reduce misunderstandings and injuries during emergencies</w:t>
            </w:r>
          </w:p>
        </w:tc>
      </w:tr>
      <w:tr>
        <w:trPr>
          <w:trHeight w:val="948" w:hRule="atLeast"/>
        </w:trPr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Clear exit plans during overwhelm</w:t>
            </w:r>
          </w:p>
        </w:tc>
        <w:tc>
          <w:tcPr>
            <w:tcW w:w="2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 xml:space="preserve">Cooperation in </w:t>
            </w:r>
          </w:p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 xml:space="preserve">removing </w:t>
            </w:r>
          </w:p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attendance policy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Visual aids, written communication, practice</w:t>
            </w:r>
          </w:p>
        </w:tc>
        <w:tc>
          <w:tcPr>
            <w:tcW w:w="5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1" w:end="4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Allows the person to step away without explanation or punishment</w:t>
            </w:r>
          </w:p>
        </w:tc>
      </w:tr>
      <w:tr>
        <w:trPr>
          <w:trHeight w:val="1784" w:hRule="atLeast"/>
        </w:trPr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 w:end="27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Crisis or shutdown plan</w:t>
            </w:r>
          </w:p>
        </w:tc>
        <w:tc>
          <w:tcPr>
            <w:tcW w:w="2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 xml:space="preserve">Training, with repetitive and clear communication (appropriate communication access needed) for necessary people involved 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1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Visual aids, written communication, practice</w:t>
            </w:r>
          </w:p>
        </w:tc>
        <w:tc>
          <w:tcPr>
            <w:tcW w:w="5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1" w:end="327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Providing adequate dedication to comprehension can reduce misunderstandings and injuries during emergencies</w:t>
            </w:r>
          </w:p>
        </w:tc>
      </w:tr>
      <w:tr>
        <w:trPr>
          <w:trHeight w:val="1784" w:hRule="atLeast"/>
        </w:trPr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Recorded or transcribed calls</w:t>
            </w:r>
          </w:p>
        </w:tc>
        <w:tc>
          <w:tcPr>
            <w:tcW w:w="2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Consent to be recorded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Access to recording or transcriptions and the respective technology</w:t>
            </w:r>
          </w:p>
        </w:tc>
        <w:tc>
          <w:tcPr>
            <w:tcW w:w="5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1" w:end="28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Providing these resources increases comprehension, reducing time and effort needed to complete tasks for all parties</w:t>
            </w:r>
          </w:p>
        </w:tc>
      </w:tr>
      <w:tr>
        <w:trPr>
          <w:trHeight w:val="1370" w:hRule="atLeast"/>
        </w:trPr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2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5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1" w:end="28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1442" w:hRule="atLeast"/>
        </w:trPr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2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5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1" w:end="28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1460" w:hRule="atLeast"/>
        </w:trPr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2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5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1" w:end="28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1460" w:hRule="atLeast"/>
        </w:trPr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160"/>
              <w:ind w:hanging="0" w:start="0"/>
              <w:jc w:val="star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2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5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end w:w="11" w:type="dxa"/>
            </w:tcMar>
          </w:tcPr>
          <w:p>
            <w:pPr>
              <w:pStyle w:val="Normal"/>
              <w:widowControl/>
              <w:spacing w:lineRule="auto" w:line="259" w:before="0" w:after="0"/>
              <w:ind w:hanging="0" w:start="1" w:end="28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tabs>
          <w:tab w:val="clear" w:pos="720"/>
          <w:tab w:val="right" w:pos="12810" w:leader="none"/>
        </w:tabs>
        <w:ind w:hanging="0" w:start="0"/>
        <w:rPr/>
      </w:pPr>
      <w:r>
        <w:rPr/>
        <w:t>Additional Comments:</w:t>
      </w:r>
    </w:p>
    <w:p>
      <w:pPr>
        <w:pStyle w:val="Normal"/>
        <w:tabs>
          <w:tab w:val="clear" w:pos="720"/>
          <w:tab w:val="right" w:pos="12810" w:leader="none"/>
        </w:tabs>
        <w:ind w:hanging="0" w:start="-15"/>
        <w:rPr/>
      </w:pPr>
      <w:r>
        <w:rPr/>
      </w:r>
    </w:p>
    <w:p>
      <w:pPr>
        <w:pStyle w:val="Normal"/>
        <w:tabs>
          <w:tab w:val="clear" w:pos="720"/>
          <w:tab w:val="right" w:pos="12810" w:leader="none"/>
        </w:tabs>
        <w:ind w:hanging="0" w:start="0"/>
        <w:rPr/>
      </w:pPr>
      <w:r>
        <w:rPr/>
      </w:r>
    </w:p>
    <w:p>
      <w:pPr>
        <w:pStyle w:val="Normal"/>
        <w:tabs>
          <w:tab w:val="clear" w:pos="720"/>
          <w:tab w:val="right" w:pos="12810" w:leader="none"/>
        </w:tabs>
        <w:spacing w:before="0" w:after="577"/>
        <w:ind w:hanging="0" w:start="0"/>
        <w:rPr/>
      </w:pPr>
      <w:r>
        <w:rPr/>
        <w:t>Name:____________________________________</w:t>
        <w:tab/>
        <w:t>Date:___________________________</w:t>
      </w:r>
    </w:p>
    <w:sectPr>
      <w:headerReference w:type="even" r:id="rId2"/>
      <w:headerReference w:type="default" r:id="rId3"/>
      <w:headerReference w:type="first" r:id="rId4"/>
      <w:type w:val="nextPage"/>
      <w:pgSz w:orient="landscape" w:w="15840" w:h="12240"/>
      <w:pgMar w:left="1152" w:right="1152" w:gutter="0" w:header="1152" w:top="1440" w:footer="0" w:bottom="86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start="0" w:end="-602"/>
      <w:rPr/>
    </w:pPr>
    <w:r>
      <w:rPr>
        <w:b/>
        <w:sz w:val="44"/>
      </w:rPr>
      <w:t>Accommodations Checklist                                              coopertherapy.ca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start="0" w:end="-602"/>
      <w:rPr/>
    </w:pPr>
    <w:r>
      <w:rPr>
        <w:b/>
        <w:sz w:val="44"/>
      </w:rPr>
      <w:t>Accommodations Checklist                                             coopertherapy.ca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start="0" w:end="-602"/>
      <w:rPr/>
    </w:pPr>
    <w:r>
      <w:rPr>
        <w:b/>
        <w:sz w:val="44"/>
      </w:rPr>
      <w:t>Accommodations Checklist                                             coopertherapy.ca</w:t>
    </w:r>
  </w:p>
</w:hdr>
</file>

<file path=word/settings.xml><?xml version="1.0" encoding="utf-8"?>
<w:settings xmlns:w="http://schemas.openxmlformats.org/wordprocessingml/2006/main">
  <w:zoom w:percent="69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64" w:before="0" w:after="577"/>
      <w:ind w:hanging="10" w:start="10"/>
      <w:jc w:val="start"/>
    </w:pPr>
    <w:rPr>
      <w:rFonts w:ascii="Times New Roman" w:hAnsi="Times New Roman" w:eastAsia="Times New Roman" w:cs="Times New Roman"/>
      <w:color w:val="000000"/>
      <w:kern w:val="0"/>
      <w:sz w:val="3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sid w:val="000866aa"/>
    <w:rPr>
      <w:rFonts w:ascii="Times New Roman" w:hAnsi="Times New Roman" w:eastAsia="Times New Roman" w:cs="Times New Roman"/>
      <w:color w:val="000000"/>
      <w:sz w:val="3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unhideWhenUsed/>
    <w:rsid w:val="000866aa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0866aa"/>
    <w:pPr>
      <w:widowControl/>
      <w:bidi w:val="0"/>
      <w:spacing w:lineRule="auto" w:line="240" w:before="0" w:after="0"/>
      <w:ind w:hanging="10" w:start="10"/>
      <w:jc w:val="start"/>
    </w:pPr>
    <w:rPr>
      <w:rFonts w:ascii="Times New Roman" w:hAnsi="Times New Roman" w:eastAsia="Times New Roman" w:cs="Times New Roman"/>
      <w:color w:val="000000"/>
      <w:kern w:val="0"/>
      <w:sz w:val="3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b4eed"/>
    <w:pPr>
      <w:spacing w:before="0" w:after="577"/>
      <w:ind w:start="720"/>
      <w:contextualSpacing/>
    </w:pPr>
    <w:rPr/>
  </w:style>
  <w:style w:type="paragraph" w:styleId="Header">
    <w:name w:val="head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A3ED8-099E-4498-A9C2-6130BF65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LibreOffice/26.2.1.2$Windows_X86_64 LibreOffice_project/620$Build-2</Application>
  <AppVersion>15.0000</AppVersion>
  <Pages>6</Pages>
  <Words>835</Words>
  <Characters>5888</Characters>
  <CharactersWithSpaces>6746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2026-03-24T22:22:00Z</dcterms:created>
  <dc:creator>Paulina Kubara</dc:creator>
  <dc:description/>
  <dc:language>en-US</dc:language>
  <cp:lastModifiedBy/>
  <dcterms:modified xsi:type="dcterms:W3CDTF">2026-03-24T18:57:36Z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